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Доклад об организации антимонопольного комплаенса в Администрации сельского поселения Просвет муниципального района Волжский Самарской области за 20</w:t>
      </w:r>
      <w:r>
        <w:rPr>
          <w:rFonts w:cs="Times New Roman" w:ascii="Times New Roman" w:hAnsi="Times New Roman"/>
          <w:b/>
          <w:sz w:val="28"/>
          <w:szCs w:val="28"/>
        </w:rPr>
        <w:t>25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</w:t>
      </w:r>
    </w:p>
    <w:p>
      <w:pPr>
        <w:pStyle w:val="Normal"/>
        <w:tabs>
          <w:tab w:val="clear" w:pos="708"/>
          <w:tab w:val="left" w:pos="6615" w:leader="none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1. Информация о внедрении антимонопольного комплаенса</w:t>
      </w:r>
    </w:p>
    <w:p>
      <w:pPr>
        <w:pStyle w:val="ListParagraph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Перечень правовых актов, регулирующих антимонопольный комплаенс Администрации сельского поселения Просвета муниципального района Волжский Самарской области.</w:t>
      </w:r>
    </w:p>
    <w:p>
      <w:pPr>
        <w:pStyle w:val="ListParagraph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Style w:val="a4"/>
        <w:tblW w:w="1474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13749"/>
      </w:tblGrid>
      <w:tr>
        <w:trPr/>
        <w:tc>
          <w:tcPr>
            <w:tcW w:w="9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74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Реквизиты и наименование правового акта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74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Постановление Администрации сельского поселения Просвет муниципального района Волжский Самарской области от 29.03.2021 № 37«Об утверждении Положения об организации в Администрации сельского поселения Просвет муниципального района Волжский Самарской области системы внутреннего обеспечения соответствия требованиям антимонопольного законодательства (антимонопольного комплаенса)»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 мероприятий («дорожная карта») по снижению комплаенс-рисков в Администрации сельского поселения Просвет муниципального района Волжский Самарской области на 2025 год, утвержденный от 10.01.2025 г.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3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Карта комплаенс-рисков Администрации сельского поселения Просвет муниципального района Волжский Самарской области на 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год, утвержденная от 10.01.2025 г.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Перечень ключевых показателей эффективности функционирования антимонопольного комплаенса в Администрации сельского поселения Просвет муниципального района Волжский Самарской области на 2025 год от 10.01.2025 г.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Размещение информации об антимонопольном комплаенсе администрации сельского поселения Просвет муниципального района Волжский Самарской области на официальном сайте в сети Интернет.</w:t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официальном сайте Администрации сельского поселения Просвет муниципального района Волжский Самарской области (далее - официальный сайт) создан раздел «Антимонопольный комплаенс», который включает в себя:</w:t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планы мероприятий («дорожная карта») по снижению комплаенс-рисков в Администрации сельского поселения Просвет муниципального района Волжский Самарской области;</w:t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карты комплаенс-рисков Администрации сельского поселения Просвет муниципального района Волжский Самарской области;</w:t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перечень ключевых показателей эффективности функционирования антимонопольного комплаенса в Администрации сельского поселения Просвет муниципального района Волжский Самарской области;</w:t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доклады об организации антимонопольного комплаенса в администрации сельского поселения Просвет муниципальном районе Волжский Самарской области</w:t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муниципальные правовые акты, обеспечивающие организацию и функционирование антимонопольного комплаенса Администрации сельского поселения Просвет муниципального района Волжский Самарской области;</w:t>
      </w:r>
    </w:p>
    <w:p>
      <w:pPr>
        <w:pStyle w:val="Heading1"/>
        <w:jc w:val="left"/>
        <w:rPr>
          <w:color w:val="auto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  <w:t xml:space="preserve">                   </w:t>
      </w:r>
      <w:r>
        <w:rPr>
          <w:rFonts w:cs="Times New Roman" w:ascii="Times New Roman" w:hAnsi="Times New Roman"/>
          <w:color w:val="auto"/>
          <w:sz w:val="26"/>
          <w:szCs w:val="26"/>
        </w:rPr>
        <w:t xml:space="preserve">-   </w:t>
      </w:r>
      <w:hyperlink r:id="rId2">
        <w:r>
          <w:rPr>
            <w:rStyle w:val="ListLabel91"/>
            <w:rFonts w:ascii="Times New Roman" w:hAnsi="Times New Roman" w:cs="Times New Roman"/>
            <w:b w:val="false"/>
            <w:bCs w:val="false"/>
            <w:color w:val="auto"/>
            <w:sz w:val="26"/>
            <w:szCs w:val="26"/>
          </w:rPr>
          <w:t>Федеральный закон от 26 июля 2006 г. N 135-ФЗ "О защите конкуренции" (с изменениями и дополнениями)</w:t>
        </w:r>
      </w:hyperlink>
      <w:r>
        <w:rPr>
          <w:color w:val="auto"/>
          <w:sz w:val="26"/>
          <w:szCs w:val="26"/>
        </w:rPr>
        <w:t>;</w:t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- Распоряжение Правительства Российской Федерации от 18 октября 2018 г. N 2258-р с утвержденными «Методическими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законодательства».</w:t>
      </w:r>
    </w:p>
    <w:p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1.3 Ознакомление сотрудников администрации с правовыми актами, регулирующими антимонопольный комплаенс Администрации сельского поселения Просвета  муниципального района Волжский Самарской области.</w:t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целью разъяснения понятия и принципов антимонопольного комплаенса, необходимости и порядка организации мер, направленных на соблюдение требований антимонопольного законодательства и предупреждение его нарушений, до сотрудников доведена информация о создании и функционировании системы антимонопольного комплаенса, доведена информация о принятии нормативно-правового акта и размещении его в официальных источниках. Для обеспечения свободного доступа к материалу на сайте администрации сельского поселения Просвет муниципального района Волжский Самарской области создан раздел «Антимонопольный комплаенс»</w:t>
      </w:r>
      <w:r>
        <w:rPr>
          <w:sz w:val="26"/>
          <w:szCs w:val="26"/>
        </w:rPr>
        <w:t xml:space="preserve"> </w:t>
      </w:r>
    </w:p>
    <w:p>
      <w:pPr>
        <w:pStyle w:val="ListParagraph"/>
        <w:ind w:firstLine="709" w:left="3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/>
      </w:r>
    </w:p>
    <w:p>
      <w:pPr>
        <w:pStyle w:val="ListParagraph"/>
        <w:ind w:firstLine="709" w:left="3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/>
      </w:r>
    </w:p>
    <w:p>
      <w:pPr>
        <w:pStyle w:val="ListParagraph"/>
        <w:ind w:firstLine="709" w:left="3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1.4 Участие сотрудников Администрации сельского поселения Просвет муниципального района Волжский в обучающих мероприятиях по вопросам применения антимонопольного законодательства и организации антимонопольного комплаенса.</w:t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ind w:firstLine="709"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мере доведения до Администрации муниципального района Волжский Самарской области методических рекомендаций                     о внесении изменений и/или актуализации нормативно-правовых актов и прочих документов от вышестоящих органов, информация                   в полном объеме доводится до всех сотрудников, занимающихся разработкой проектов нормативных правовых актов, соглашений и положений Администрации поселения.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2. Информация о результатах проведенной работы по выявлению и оценке комплаенс-рисков</w:t>
      </w:r>
    </w:p>
    <w:p>
      <w:pPr>
        <w:pStyle w:val="Normal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eastAsia="Times New Roman"/>
          <w:color w:val="222222"/>
          <w:sz w:val="26"/>
          <w:szCs w:val="26"/>
        </w:rPr>
      </w:pPr>
      <w:r>
        <w:rPr>
          <w:rFonts w:eastAsia="Times New Roman" w:ascii="Times New Roman" w:hAnsi="Times New Roman"/>
          <w:color w:val="222222"/>
          <w:sz w:val="26"/>
          <w:szCs w:val="26"/>
        </w:rPr>
        <w:t>В целях  выявления  рисков нарушения антимонопольного законодательства  уполномоченным подразделением по организации функционирования антимонопольного комплаенса в Администрации района осуществлен ряд мероприятий, предусмотренных Положением  об  антимонопольном комплаенсе, а именно:</w:t>
      </w:r>
    </w:p>
    <w:p>
      <w:pPr>
        <w:pStyle w:val="Normal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eastAsia="Times New Roman"/>
          <w:color w:val="222222"/>
          <w:sz w:val="26"/>
          <w:szCs w:val="26"/>
        </w:rPr>
      </w:pPr>
      <w:r>
        <w:rPr>
          <w:rFonts w:eastAsia="Times New Roman" w:ascii="Times New Roman" w:hAnsi="Times New Roman"/>
          <w:color w:val="222222"/>
          <w:sz w:val="26"/>
          <w:szCs w:val="26"/>
        </w:rPr>
        <w:t xml:space="preserve">- разработаны  </w:t>
      </w:r>
      <w:r>
        <w:rPr>
          <w:rFonts w:cs="Times New Roman" w:ascii="Times New Roman" w:hAnsi="Times New Roman"/>
          <w:sz w:val="26"/>
          <w:szCs w:val="26"/>
        </w:rPr>
        <w:t>планы мероприятий («дорожных карт») по снижению комплаенс-рисков и карт комплаенс-рисков на 202</w:t>
      </w:r>
      <w:r>
        <w:rPr>
          <w:rFonts w:cs="Times New Roman" w:ascii="Times New Roman" w:hAnsi="Times New Roman"/>
          <w:sz w:val="26"/>
          <w:szCs w:val="26"/>
        </w:rPr>
        <w:t>6</w:t>
      </w:r>
      <w:r>
        <w:rPr>
          <w:rFonts w:cs="Times New Roman" w:ascii="Times New Roman" w:hAnsi="Times New Roman"/>
          <w:sz w:val="26"/>
          <w:szCs w:val="26"/>
        </w:rPr>
        <w:t xml:space="preserve"> год</w:t>
      </w:r>
      <w:r>
        <w:rPr>
          <w:rFonts w:eastAsia="Times New Roman" w:ascii="Times New Roman" w:hAnsi="Times New Roman"/>
          <w:color w:val="222222"/>
          <w:sz w:val="26"/>
          <w:szCs w:val="26"/>
        </w:rPr>
        <w:t>;</w:t>
      </w:r>
    </w:p>
    <w:p>
      <w:pPr>
        <w:pStyle w:val="Normal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eastAsia="Calibri"/>
          <w:sz w:val="26"/>
          <w:szCs w:val="26"/>
        </w:rPr>
      </w:pPr>
      <w:r>
        <w:rPr>
          <w:rFonts w:eastAsia="Times New Roman" w:ascii="Times New Roman" w:hAnsi="Times New Roman"/>
          <w:color w:val="222222"/>
          <w:sz w:val="26"/>
          <w:szCs w:val="26"/>
        </w:rPr>
        <w:t>- проведена оценка вероятных нарушений антимонопольного законодательства в деятельности в период с 20</w:t>
      </w:r>
      <w:r>
        <w:rPr>
          <w:rFonts w:eastAsia="Times New Roman" w:ascii="Times New Roman" w:hAnsi="Times New Roman"/>
          <w:color w:val="222222"/>
          <w:sz w:val="26"/>
          <w:szCs w:val="26"/>
        </w:rPr>
        <w:t>20</w:t>
      </w:r>
      <w:r>
        <w:rPr>
          <w:rFonts w:eastAsia="Times New Roman" w:ascii="Times New Roman" w:hAnsi="Times New Roman"/>
          <w:color w:val="222222"/>
          <w:sz w:val="26"/>
          <w:szCs w:val="26"/>
        </w:rPr>
        <w:t xml:space="preserve"> по 202</w:t>
      </w:r>
      <w:r>
        <w:rPr>
          <w:rFonts w:eastAsia="Times New Roman" w:ascii="Times New Roman" w:hAnsi="Times New Roman"/>
          <w:color w:val="222222"/>
          <w:sz w:val="26"/>
          <w:szCs w:val="26"/>
        </w:rPr>
        <w:t>5</w:t>
      </w:r>
      <w:r>
        <w:rPr>
          <w:rFonts w:eastAsia="Times New Roman" w:ascii="Times New Roman" w:hAnsi="Times New Roman"/>
          <w:color w:val="222222"/>
          <w:sz w:val="26"/>
          <w:szCs w:val="26"/>
        </w:rPr>
        <w:t xml:space="preserve"> годы включительно </w:t>
      </w:r>
      <w:r>
        <w:rPr>
          <w:rFonts w:ascii="Times New Roman" w:hAnsi="Times New Roman"/>
          <w:sz w:val="26"/>
          <w:szCs w:val="26"/>
        </w:rPr>
        <w:t>с присвоением каждому из них соответствующего уровня риска</w:t>
      </w:r>
      <w:r>
        <w:rPr>
          <w:rFonts w:eastAsia="Times New Roman" w:ascii="Times New Roman" w:hAnsi="Times New Roman"/>
          <w:color w:val="222222"/>
          <w:sz w:val="26"/>
          <w:szCs w:val="26"/>
        </w:rPr>
        <w:t>;</w:t>
      </w:r>
    </w:p>
    <w:p>
      <w:pPr>
        <w:pStyle w:val="Normal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>- утверждено Постановление об утверждении антимонопольного комплаенса, информация размещена на сайте поселения.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>Проведенная оценка выявленных рисков нарушения антимонопольного законодательства показала, что риски нарушения антимонопольного законодательства возможны в следующих областях деятельности: при осуществлении государственных закупок, торгов, при разработке нормативно-правовых документов, при предоставлении муниципальных услуг.</w:t>
      </w:r>
    </w:p>
    <w:p>
      <w:pPr>
        <w:pStyle w:val="Normal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eastAsia="Times New Roman"/>
          <w:color w:val="222222"/>
          <w:sz w:val="26"/>
          <w:szCs w:val="26"/>
        </w:rPr>
      </w:pPr>
      <w:r>
        <w:rPr>
          <w:rFonts w:eastAsia="Times New Roman" w:ascii="Times New Roman" w:hAnsi="Times New Roman"/>
          <w:color w:val="222222"/>
          <w:sz w:val="26"/>
          <w:szCs w:val="26"/>
        </w:rPr>
        <w:t>По   результатам  проведенной оценки рисков нарушения антимонопольного законодательства составлена и утверждена карта комплаенс-рисков.</w:t>
      </w:r>
    </w:p>
    <w:p>
      <w:pPr>
        <w:pStyle w:val="s1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проведенного анализа установлено следующее: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>- рассмотрение дел по вопросам применения и возможного нарушения Администрацией поселения норм антимонопольного законодательства в судебных инстанциях не осуществлялось.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Раздел 3. Информация об исполнении плана мероприятий по снижению комплаенс-рисков на 20</w:t>
      </w:r>
      <w:r>
        <w:rPr>
          <w:rFonts w:cs="Times New Roman" w:ascii="Times New Roman" w:hAnsi="Times New Roman"/>
          <w:b/>
          <w:sz w:val="24"/>
          <w:szCs w:val="24"/>
        </w:rPr>
        <w:t>26</w:t>
      </w:r>
      <w:r>
        <w:rPr>
          <w:rFonts w:cs="Times New Roman" w:ascii="Times New Roman" w:hAnsi="Times New Roman"/>
          <w:b/>
          <w:sz w:val="24"/>
          <w:szCs w:val="24"/>
        </w:rPr>
        <w:t xml:space="preserve"> год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снижения рисков нарушения антимонопольного законодательства на основе Карты комплаенс – рисков в Администрации сельского поселения Просвета муниципального района Волжский разработан и утвержден План мероприятий («Дорожная карта») по снижению рисков нарушения антимонопольного законодательства в Администрации поселения на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Таким образом, 9 мероприятий по минимизации и устранению рисков снижению рисков нарушения антимонопольного законодательства Администрациисельского поселения Просвет  муниципального района Волжский Самарской области выполнены в полном объеме.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Раздел 4. Информация о достижении ключевых показателей эффективности функционирования антимонопольного комплаенса Администрации сельского поселения Просвет муниципального района Волжский Самарской области в 202</w:t>
      </w:r>
      <w:r>
        <w:rPr>
          <w:rFonts w:cs="Times New Roman" w:ascii="Times New Roman" w:hAnsi="Times New Roman"/>
          <w:b/>
          <w:sz w:val="24"/>
          <w:szCs w:val="24"/>
        </w:rPr>
        <w:t xml:space="preserve">5 </w:t>
      </w:r>
      <w:r>
        <w:rPr>
          <w:rFonts w:cs="Times New Roman" w:ascii="Times New Roman" w:hAnsi="Times New Roman"/>
          <w:b/>
          <w:sz w:val="24"/>
          <w:szCs w:val="24"/>
        </w:rPr>
        <w:t>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Перечень ключевых показателей эффективности функционирования в Администрации сельского поселения Просвет  </w:t>
      </w:r>
      <w:r>
        <w:rPr>
          <w:rFonts w:cs="Times New Roman" w:ascii="Times New Roman" w:hAnsi="Times New Roman"/>
          <w:b/>
          <w:sz w:val="24"/>
          <w:szCs w:val="24"/>
          <w:lang w:eastAsia="ar-SA"/>
        </w:rPr>
        <w:t>муниципального района Волжский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ar-SA"/>
        </w:rPr>
        <w:t>Самарской области антимонопольного комплаенса на 202</w:t>
      </w:r>
      <w:r>
        <w:rPr>
          <w:rFonts w:cs="Times New Roman" w:ascii="Times New Roman" w:hAnsi="Times New Roman"/>
          <w:b/>
          <w:sz w:val="24"/>
          <w:szCs w:val="24"/>
          <w:lang w:eastAsia="ar-SA"/>
        </w:rPr>
        <w:t>6</w:t>
      </w:r>
      <w:r>
        <w:rPr>
          <w:rFonts w:cs="Times New Roman" w:ascii="Times New Roman" w:hAnsi="Times New Roman"/>
          <w:b/>
          <w:sz w:val="24"/>
          <w:szCs w:val="24"/>
          <w:lang w:eastAsia="ar-SA"/>
        </w:rPr>
        <w:t xml:space="preserve"> год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tbl>
      <w:tblPr>
        <w:tblW w:w="1466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960"/>
        <w:gridCol w:w="1623"/>
        <w:gridCol w:w="8080"/>
      </w:tblGrid>
      <w:tr>
        <w:trPr>
          <w:trHeight w:val="727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Целевое значение на 202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Методика расчета</w:t>
            </w:r>
          </w:p>
        </w:tc>
      </w:tr>
      <w:tr>
        <w:trPr>
          <w:trHeight w:val="3181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1"/>
              <w:shd w:val="clear" w:color="auto" w:fill="auto"/>
              <w:spacing w:lineRule="auto" w:line="240"/>
              <w:rPr>
                <w:sz w:val="20"/>
                <w:szCs w:val="20"/>
              </w:rPr>
            </w:pPr>
            <w:r>
              <w:rPr>
                <w:rStyle w:val="2Exact2"/>
                <w:color w:val="000000"/>
                <w:sz w:val="20"/>
                <w:szCs w:val="20"/>
              </w:rPr>
              <w:t>Количество нарушений антимонопольного законодательства, единиц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Рассчитывается как сумма: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количество возбужденных антимонопольным органом в отношении администрации антимонопольных дел;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количество выданных антимонопольным органом администрации предупреждений о прекращении действий (бездействий),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количество направленных антимонопольным органом администрации предостережений о недопустимости совершения действий, которые могут привести к нарушению антимонопольного законодательства</w:t>
            </w:r>
          </w:p>
        </w:tc>
      </w:tr>
      <w:tr>
        <w:trPr>
          <w:trHeight w:val="318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1"/>
              <w:spacing w:lineRule="auto" w:line="240"/>
              <w:rPr>
                <w:rStyle w:val="2Exact2"/>
                <w:color w:val="000000"/>
                <w:sz w:val="20"/>
                <w:szCs w:val="20"/>
              </w:rPr>
            </w:pPr>
            <w:r>
              <w:rPr>
                <w:rStyle w:val="2Exact2"/>
                <w:color w:val="000000"/>
                <w:sz w:val="20"/>
                <w:szCs w:val="20"/>
              </w:rPr>
              <w:t>Доля НПА администрации, в которых риски нарушения антимонопольного законодательства выявлены антимонопольным органом, процентов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Рассчитывается как отношение количества нормативных правовых актов администрации, принятых в 202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году, в которых риски нарушения антимонопольного законодательства выявлены антимонопольным органом, к общему количеству нормативных правовых актов администрации инятых в 202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году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1"/>
              <w:shd w:val="clear" w:color="auto" w:fill="auto"/>
              <w:spacing w:lineRule="auto" w:line="240"/>
              <w:rPr>
                <w:rStyle w:val="2Exact2"/>
                <w:color w:val="000000"/>
                <w:sz w:val="20"/>
                <w:szCs w:val="20"/>
              </w:rPr>
            </w:pPr>
            <w:r>
              <w:rPr>
                <w:rStyle w:val="2Exact2"/>
                <w:color w:val="000000"/>
                <w:sz w:val="20"/>
                <w:szCs w:val="20"/>
              </w:rPr>
              <w:t>Доля НПА муниципального района Волжский, разработчиком которых выступала администрация, в которых риски нарушения антимонопольного законодательства выявлены антимонопольным органом, процентов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Рассчитывается как отношение количества нормативных правовых актов, принятых в муниципальном районе Волжский Самарской области в 202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году, разработчиком которых выступила администрация, в которых риски нарушения антимонопольного законодательства выявлены антимонопольным органом, к общему количеству нормативных правовых актов администрации, принятых в муниципальном районе Волжский, разработчиком которых выступила  администрация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1"/>
              <w:shd w:val="clear" w:color="auto" w:fill="auto"/>
              <w:spacing w:lineRule="auto" w:line="240"/>
              <w:rPr>
                <w:rStyle w:val="2Exact2"/>
                <w:color w:val="000000"/>
                <w:sz w:val="20"/>
                <w:szCs w:val="20"/>
              </w:rPr>
            </w:pPr>
            <w:r>
              <w:rPr>
                <w:rStyle w:val="2Exact2"/>
                <w:color w:val="000000"/>
                <w:sz w:val="20"/>
                <w:szCs w:val="20"/>
              </w:rPr>
              <w:t>Доля сотрудников администрации, с которыми были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Рассчитывается как отношение количества сотрудников администрации, с которыми были проведены обучающие мероприятия по антимонопольному законодательству и антимонопольному комплаенсу, к общему количеству сотрудников администрации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4-х к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лючевых показателей эффективности функционирования антимонопольного комплаенса администрации сельского поселения Просвет муниципального района Волжский Самарской области достигнуты целевые значения по одному показателю «Доля сотрудников администрации, с которыми были проведены обучение мероприятия по антимонопольному законодательству  и антимонопольному комплаенсу.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1314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c7fda"/>
    <w:pPr>
      <w:widowControl w:val="false"/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c7fd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5c7fda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9"/>
    <w:qFormat/>
    <w:rsid w:val="005c7fda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2" w:customStyle="1">
    <w:name w:val="Гипертекстовая ссылка"/>
    <w:basedOn w:val="DefaultParagraphFont"/>
    <w:uiPriority w:val="99"/>
    <w:qFormat/>
    <w:rsid w:val="005c7fda"/>
    <w:rPr>
      <w:rFonts w:ascii="Times New Roman" w:hAnsi="Times New Roman" w:cs="Times New Roman"/>
      <w:b w:val="false"/>
      <w:bCs w:val="false"/>
      <w:color w:val="106BBE"/>
    </w:rPr>
  </w:style>
  <w:style w:type="character" w:styleId="2" w:customStyle="1">
    <w:name w:val="Заголовок 2 Знак"/>
    <w:basedOn w:val="DefaultParagraphFont"/>
    <w:uiPriority w:val="9"/>
    <w:qFormat/>
    <w:rsid w:val="005c7fda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oznaimen" w:customStyle="1">
    <w:name w:val="oz_naimen"/>
    <w:basedOn w:val="DefaultParagraphFont"/>
    <w:qFormat/>
    <w:rsid w:val="00cb4481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65e5c"/>
    <w:rPr>
      <w:rFonts w:ascii="Tahoma" w:hAnsi="Tahoma" w:cs="Tahoma"/>
      <w:sz w:val="16"/>
      <w:szCs w:val="16"/>
    </w:rPr>
  </w:style>
  <w:style w:type="character" w:styleId="21" w:customStyle="1">
    <w:name w:val="Основной текст (2)_"/>
    <w:basedOn w:val="DefaultParagraphFont"/>
    <w:link w:val="211"/>
    <w:uiPriority w:val="99"/>
    <w:qFormat/>
    <w:locked/>
    <w:rsid w:val="00a652b6"/>
    <w:rPr>
      <w:rFonts w:ascii="Times New Roman" w:hAnsi="Times New Roman" w:cs="Times New Roman"/>
      <w:sz w:val="26"/>
      <w:szCs w:val="26"/>
      <w:shd w:fill="FFFFFF" w:val="clear"/>
    </w:rPr>
  </w:style>
  <w:style w:type="character" w:styleId="2Exact2" w:customStyle="1">
    <w:name w:val="Основной текст (2) Exact2"/>
    <w:basedOn w:val="21"/>
    <w:uiPriority w:val="99"/>
    <w:qFormat/>
    <w:rsid w:val="00a652b6"/>
    <w:rPr>
      <w:rFonts w:ascii="Times New Roman" w:hAnsi="Times New Roman" w:cs="Times New Roman"/>
      <w:strike w:val="false"/>
      <w:dstrike w:val="false"/>
      <w:sz w:val="26"/>
      <w:szCs w:val="26"/>
      <w:u w:val="none"/>
      <w:effect w:val="none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b6d42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b6d42"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c3618"/>
    <w:pPr>
      <w:spacing w:before="0" w:after="200"/>
      <w:ind w:left="720"/>
      <w:contextualSpacing/>
    </w:pPr>
    <w:rPr/>
  </w:style>
  <w:style w:type="paragraph" w:styleId="s1" w:customStyle="1">
    <w:name w:val="s_1"/>
    <w:basedOn w:val="Normal"/>
    <w:qFormat/>
    <w:rsid w:val="00c6089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6" w:customStyle="1">
    <w:name w:val="s_16"/>
    <w:basedOn w:val="Normal"/>
    <w:uiPriority w:val="99"/>
    <w:qFormat/>
    <w:rsid w:val="00b042d7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empty" w:customStyle="1">
    <w:name w:val="empty"/>
    <w:basedOn w:val="Normal"/>
    <w:uiPriority w:val="99"/>
    <w:qFormat/>
    <w:rsid w:val="00b042d7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65e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11" w:customStyle="1">
    <w:name w:val="Основной текст (2)1"/>
    <w:basedOn w:val="Normal"/>
    <w:link w:val="21"/>
    <w:uiPriority w:val="99"/>
    <w:qFormat/>
    <w:rsid w:val="00a652b6"/>
    <w:pPr>
      <w:widowControl w:val="false"/>
      <w:shd w:val="clear" w:color="auto" w:fill="FFFFFF"/>
      <w:spacing w:lineRule="exact" w:line="317" w:before="0" w:after="0"/>
      <w:jc w:val="center"/>
    </w:pPr>
    <w:rPr>
      <w:rFonts w:ascii="Times New Roman" w:hAnsi="Times New Roman" w:cs="Times New Roman"/>
      <w:sz w:val="26"/>
      <w:szCs w:val="2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b6d4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b6d4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c36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vo.garant.ru/document/redirect/12148517/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419B-8625-4084-B736-F7614120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Application>LibreOffice/24.2.5.2$Windows_X86_64 LibreOffice_project/bffef4ea93e59bebbeaf7f431bb02b1a39ee8a59</Application>
  <AppVersion>15.0000</AppVersion>
  <Pages>5</Pages>
  <Words>1040</Words>
  <Characters>8499</Characters>
  <CharactersWithSpaces>9556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2024-02-09T06:54:00Z</dcterms:created>
  <dc:creator>Волкова Полина Олеговна</dc:creator>
  <dc:description/>
  <dc:language>ru-RU</dc:language>
  <cp:lastModifiedBy/>
  <cp:lastPrinted>2025-01-14T10:34:00Z</cp:lastPrinted>
  <dcterms:modified xsi:type="dcterms:W3CDTF">2026-01-21T15:17:37Z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